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40"/>
      </w:pPr>
      <w:r>
        <w:t xml:space="preserve">Ejemplo de planeación primaria</w:t>
      </w:r>
    </w:p>
    <w:p>
      <w:pPr>
        <w:spacing w:after="150"/>
      </w:pPr>
      <w:r>
        <w:rPr>
          <w:b w:val="false"/>
          <w:bCs w:val="false"/>
        </w:rPr>
        <w:t xml:space="preserve">Ejemplo ficticio para 2.º de primaria en México. Adapta la actividad a tu grupo y comprueba la referencia curricular.</w:t>
      </w:r>
    </w:p>
    <w:p>
      <w:pPr>
        <w:pStyle w:val="Heading2"/>
        <w:spacing w:after="65" w:before="140"/>
      </w:pPr>
      <w:r>
        <w:t xml:space="preserve">Datos generales</w:t>
      </w:r>
    </w:p>
    <w:p>
      <w:pPr>
        <w:spacing w:after="95"/>
      </w:pPr>
      <w:r>
        <w:rPr>
          <w:b/>
          <w:bCs/>
        </w:rPr>
        <w:t xml:space="preserve">Escuela: </w:t>
      </w:r>
      <w:r>
        <w:t xml:space="preserve">Ejemplo ficticio</w:t>
      </w:r>
    </w:p>
    <w:p>
      <w:pPr>
        <w:spacing w:after="95"/>
      </w:pPr>
      <w:r>
        <w:rPr>
          <w:b/>
          <w:bCs/>
        </w:rPr>
        <w:t xml:space="preserve">Docente: </w:t>
      </w:r>
      <w:r>
        <w:t xml:space="preserve">Ejemplo ficticio</w:t>
      </w:r>
    </w:p>
    <w:p>
      <w:pPr>
        <w:spacing w:after="95"/>
      </w:pPr>
      <w:r>
        <w:rPr>
          <w:b/>
          <w:bCs/>
        </w:rPr>
        <w:t xml:space="preserve">Grado y grupo: </w:t>
      </w:r>
      <w:r>
        <w:t xml:space="preserve">2.º de primaria, grupo ficticio de 26 estudiantes</w:t>
      </w:r>
    </w:p>
    <w:p>
      <w:pPr>
        <w:spacing w:after="95"/>
      </w:pPr>
      <w:r>
        <w:rPr>
          <w:b/>
          <w:bCs/>
        </w:rPr>
        <w:t xml:space="preserve">Fase: </w:t>
      </w:r>
      <w:r>
        <w:t xml:space="preserve">3</w:t>
      </w:r>
    </w:p>
    <w:p>
      <w:pPr>
        <w:spacing w:after="95"/>
      </w:pPr>
      <w:r>
        <w:rPr>
          <w:b/>
          <w:bCs/>
        </w:rPr>
        <w:t xml:space="preserve">Fecha: </w:t>
      </w:r>
      <w:r>
        <w:t xml:space="preserve">Por definir</w:t>
      </w:r>
    </w:p>
    <w:p>
      <w:pPr>
        <w:spacing w:after="95"/>
      </w:pPr>
      <w:r>
        <w:rPr>
          <w:b/>
          <w:bCs/>
        </w:rPr>
        <w:t xml:space="preserve">Duración: </w:t>
      </w:r>
      <w:r>
        <w:t xml:space="preserve">50 minutos</w:t>
      </w:r>
    </w:p>
    <w:p>
      <w:pPr>
        <w:spacing w:after="95"/>
      </w:pPr>
      <w:r>
        <w:rPr>
          <w:b/>
          <w:bCs/>
        </w:rPr>
        <w:t xml:space="preserve">Campo formativo: </w:t>
      </w:r>
      <w:r>
        <w:t xml:space="preserve">Lenguajes</w:t>
      </w:r>
    </w:p>
    <w:p>
      <w:pPr>
        <w:spacing w:after="95"/>
      </w:pPr>
      <w:r>
        <w:rPr>
          <w:b/>
          <w:bCs/>
        </w:rPr>
        <w:t xml:space="preserve">Contenido y PDA comprobados: </w:t>
      </w:r>
      <w:r>
        <w:t xml:space="preserve">Textos instructivos; escritura de instrucciones para realizar actividades, con apoyo opcional de imágenes. Comprobar la columna de 2.º en el programa.</w:t>
      </w:r>
    </w:p>
    <w:p>
      <w:pPr>
        <w:spacing w:after="95"/>
      </w:pPr>
      <w:r>
        <w:rPr>
          <w:b/>
          <w:bCs/>
        </w:rPr>
        <w:t xml:space="preserve">Programa consultado y página: </w:t>
      </w:r>
      <w:r>
        <w:t xml:space="preserve">SEP, Programa Sintético de la Fase 3, edición 2025, Lenguajes, p. 27 (p. 29 del PDF).</w:t>
      </w:r>
    </w:p>
    <w:p>
      <w:pPr>
        <w:pStyle w:val="Heading2"/>
        <w:spacing w:after="65" w:before="140"/>
      </w:pPr>
      <w:r>
        <w:t xml:space="preserve">Contexto del grupo</w:t>
      </w:r>
    </w:p>
    <w:p>
      <w:pPr>
        <w:spacing w:after="95"/>
      </w:pPr>
      <w:r>
        <w:rPr>
          <w:b/>
          <w:bCs/>
        </w:rPr>
        <w:t xml:space="preserve">Qué sabe o ha practicado el grupo: </w:t>
      </w:r>
      <w:r>
        <w:t xml:space="preserve">Conoce juegos con reglas orales. En una producción ficticia faltaba indicar el orden y el final del juego.</w:t>
      </w:r>
    </w:p>
    <w:p>
      <w:pPr>
        <w:spacing w:after="95"/>
      </w:pPr>
      <w:r>
        <w:rPr>
          <w:b/>
          <w:bCs/>
        </w:rPr>
        <w:t xml:space="preserve">Apoyo concreto previsto: </w:t>
      </w:r>
      <w:r>
        <w:t xml:space="preserve">Cuatro tarjetas con imágenes para ordenar acciones; conectores primero, después, luego y al final.</w:t>
      </w:r>
    </w:p>
    <w:p>
      <w:pPr>
        <w:spacing w:after="95"/>
      </w:pPr>
      <w:r>
        <w:rPr>
          <w:b/>
          <w:bCs/>
        </w:rPr>
        <w:t xml:space="preserve">Materiales y condiciones del aula: </w:t>
      </w:r>
      <w:r>
        <w:t xml:space="preserve">Tarjetas, hojas y lápices; espacio para probar las instrucciones en parejas.</w:t>
      </w:r>
    </w:p>
    <w:p>
      <w:pPr>
        <w:pStyle w:val="Heading2"/>
        <w:spacing w:after="65" w:before="140"/>
      </w:pPr>
      <w:r>
        <w:t xml:space="preserve">Propósito</w:t>
      </w:r>
    </w:p>
    <w:p>
      <w:pPr>
        <w:spacing w:after="95"/>
      </w:pPr>
      <w:r>
        <w:rPr>
          <w:b/>
          <w:bCs/>
        </w:rPr>
        <w:t xml:space="preserve">Al terminar, cada estudiante podrá: </w:t>
      </w:r>
      <w:r>
        <w:t xml:space="preserve">Escribir y revisar cuatro instrucciones en un orden que otra pareja pueda seguir sin explicación oral.</w:t>
      </w:r>
    </w:p>
    <w:p>
      <w:pPr>
        <w:pStyle w:val="Heading2"/>
        <w:spacing w:after="65" w:before="140"/>
      </w:pPr>
      <w:r>
        <w:t xml:space="preserve">Evidencia de aprendizaje</w:t>
      </w:r>
    </w:p>
    <w:p>
      <w:pPr>
        <w:spacing w:after="95"/>
      </w:pPr>
      <w:r>
        <w:rPr>
          <w:b/>
          <w:bCs/>
        </w:rPr>
        <w:t xml:space="preserve">Producto o desempeño que revisaré: </w:t>
      </w:r>
      <w:r>
        <w:t xml:space="preserve">Borrador individual, duda señalada por otra pareja y segunda versión con una instrucción aclarada.</w:t>
      </w:r>
    </w:p>
    <w:p>
      <w:pPr>
        <w:pStyle w:val="Heading2"/>
        <w:spacing w:after="65" w:before="140"/>
      </w:pPr>
      <w:r>
        <w:t xml:space="preserve">Secuencia de actividades</w:t>
      </w:r>
    </w:p>
    <w:p>
      <w:pPr>
        <w:spacing w:after="95"/>
      </w:pPr>
      <w:r>
        <w:rPr>
          <w:b/>
          <w:bCs/>
        </w:rPr>
        <w:t xml:space="preserve">Inicio, 10 minutos: </w:t>
      </w:r>
      <w:r>
        <w:t xml:space="preserve">Comparar dos instrucciones desordenadas de un juego conocido y preguntar qué información falta para jugar.</w:t>
      </w:r>
    </w:p>
    <w:p>
      <w:pPr>
        <w:spacing w:after="95"/>
      </w:pPr>
      <w:r>
        <w:rPr>
          <w:b/>
          <w:bCs/>
        </w:rPr>
        <w:t xml:space="preserve">Desarrollo, 30 minutos: </w:t>
      </w:r>
      <w:r>
        <w:t xml:space="preserve">En parejas, explicar un juego, ordenar cuatro tarjetas, redactar instrucciones individuales e intercambiar textos. La pareja lectora marca una duda concreta.</w:t>
      </w:r>
    </w:p>
    <w:p>
      <w:pPr>
        <w:spacing w:after="95"/>
      </w:pPr>
      <w:r>
        <w:rPr>
          <w:b/>
          <w:bCs/>
        </w:rPr>
        <w:t xml:space="preserve">Organización y apoyo: </w:t>
      </w:r>
      <w:r>
        <w:t xml:space="preserve">Dar conectores y tarjetas a quien los necesite. Quien termine antes añade una regla de cierre.</w:t>
      </w:r>
    </w:p>
    <w:p>
      <w:pPr>
        <w:spacing w:after="95"/>
      </w:pPr>
      <w:r>
        <w:rPr>
          <w:b/>
          <w:bCs/>
        </w:rPr>
        <w:t xml:space="preserve">Cierre, 10 minutos: </w:t>
      </w:r>
      <w:r>
        <w:t xml:space="preserve">Cada estudiante mejora una instrucción y completa: Cambié esta indicación porque...</w:t>
      </w:r>
    </w:p>
    <w:p>
      <w:pPr>
        <w:pStyle w:val="Heading2"/>
        <w:spacing w:after="65" w:before="140"/>
      </w:pPr>
      <w:r>
        <w:t xml:space="preserve">Materiales</w:t>
      </w:r>
    </w:p>
    <w:p>
      <w:pPr>
        <w:spacing w:after="95"/>
      </w:pPr>
      <w:r>
        <w:rPr>
          <w:b/>
          <w:bCs/>
        </w:rPr>
        <w:t xml:space="preserve">Materiales disponibles: </w:t>
      </w:r>
      <w:r>
        <w:t xml:space="preserve">Tarjetas, hojas, lápices y dos ejemplos de instrucciones.</w:t>
      </w:r>
    </w:p>
    <w:p>
      <w:pPr>
        <w:pStyle w:val="Heading2"/>
        <w:spacing w:after="65" w:before="140"/>
      </w:pPr>
      <w:r>
        <w:t xml:space="preserve">Criterios de revisión</w:t>
      </w:r>
    </w:p>
    <w:p>
      <w:pPr>
        <w:spacing w:after="95"/>
      </w:pPr>
      <w:r>
        <w:rPr>
          <w:b/>
          <w:bCs/>
        </w:rPr>
        <w:t xml:space="preserve">Criterio 1: </w:t>
      </w:r>
      <w:r>
        <w:t xml:space="preserve">Cada paso contiene una acción clara.</w:t>
      </w:r>
    </w:p>
    <w:p>
      <w:pPr>
        <w:spacing w:after="95"/>
      </w:pPr>
      <w:r>
        <w:rPr>
          <w:b/>
          <w:bCs/>
        </w:rPr>
        <w:t xml:space="preserve">Criterio 2: </w:t>
      </w:r>
      <w:r>
        <w:t xml:space="preserve">El orden permite seguir el juego.</w:t>
      </w:r>
    </w:p>
    <w:p>
      <w:pPr>
        <w:spacing w:after="95"/>
      </w:pPr>
      <w:r>
        <w:rPr>
          <w:b/>
          <w:bCs/>
        </w:rPr>
        <w:t xml:space="preserve">Criterio 3: </w:t>
      </w:r>
      <w:r>
        <w:t xml:space="preserve">La revisión aclara una duda del lector.</w:t>
      </w:r>
    </w:p>
    <w:p>
      <w:pPr>
        <w:pStyle w:val="Heading2"/>
        <w:spacing w:after="65" w:before="140"/>
      </w:pPr>
      <w:r>
        <w:t xml:space="preserve">Plan alternativo</w:t>
      </w:r>
    </w:p>
    <w:p>
      <w:pPr>
        <w:spacing w:after="95"/>
      </w:pPr>
      <w:r>
        <w:rPr>
          <w:b/>
          <w:bCs/>
        </w:rPr>
        <w:t xml:space="preserve">Si falta tiempo o material: </w:t>
      </w:r>
      <w:r>
        <w:t xml:space="preserve">Probar solo dos instrucciones y continuar la revisión la siguiente clase.</w:t>
      </w:r>
    </w:p>
    <w:p>
      <w:pPr>
        <w:spacing w:after="95"/>
      </w:pPr>
      <w:r>
        <w:rPr>
          <w:b/>
          <w:bCs/>
        </w:rPr>
        <w:t xml:space="preserve">Si la evidencia muestra una dificultad: </w:t>
      </w:r>
      <w:r>
        <w:t xml:space="preserve">Modelar un primer paso y comparar el borrador con la versión revisada.</w:t>
      </w:r>
    </w:p>
    <w:p>
      <w:pPr>
        <w:pStyle w:val="Heading2"/>
        <w:spacing w:after="65" w:before="140"/>
      </w:pPr>
      <w:r>
        <w:t xml:space="preserve">Notas después de la clase</w:t>
      </w:r>
    </w:p>
    <w:p>
      <w:pPr>
        <w:spacing w:after="95"/>
      </w:pPr>
      <w:r>
        <w:rPr>
          <w:b/>
          <w:bCs/>
        </w:rPr>
        <w:t xml:space="preserve">Qué funcionó: </w:t>
      </w:r>
      <w:r>
        <w:t xml:space="preserve">Registrar una observación concreta, sin nombres ni datos personales.</w:t>
      </w:r>
    </w:p>
    <w:p>
      <w:pPr>
        <w:spacing w:after="95"/>
      </w:pPr>
      <w:r>
        <w:rPr>
          <w:b/>
          <w:bCs/>
        </w:rPr>
        <w:t xml:space="preserve">Qué cambiaré en la siguiente sesión: </w:t>
      </w:r>
      <w:r>
        <w:t xml:space="preserve">Si falta una condición de cierre, comparar dos finales posibles antes de escribir otro juego.</w:t>
      </w:r>
    </w:p>
    <w:p>
      <w:pPr>
        <w:spacing w:after="70"/>
      </w:pPr>
      <w:r>
        <w:rPr>
          <w:b w:val="false"/>
          <w:bCs w:val="false"/>
        </w:rPr>
        <w:t xml:space="preserve">Fuente curricular: SEP, Programa Sintético de la Fase 3, edición 2025. Consulta el enlace en el artículo.</w:t>
      </w:r>
    </w:p>
    <w:p>
      <w:pPr>
        <w:spacing w:after="30"/>
      </w:pPr>
      <w:r>
        <w:rPr>
          <w:b w:val="false"/>
          <w:bCs w:val="false"/>
        </w:rPr>
        <w:t xml:space="preserve">Material de trabajo de Creaclases. No es un formato oficial único; no incluyas datos personales al compartirlo.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21"/>
        <w:szCs w:val="21"/>
      </w:rPr>
    </w:rPrDefault>
    <w:pPrDefault>
      <w:pPr>
        <w:spacing w:line="2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rFonts w:ascii="Arial" w:cs="Arial" w:eastAsia="Arial" w:hAnsi="Arial"/>
      <w:b/>
      <w:bCs/>
      <w:color w:val="000000"/>
      <w:sz w:val="32"/>
      <w:szCs w:val="32"/>
    </w:rPr>
  </w:style>
  <w:style w:type="paragraph" w:styleId="Heading2">
    <w:name w:val="Heading 2"/>
    <w:basedOn w:val="Normal"/>
    <w:rPr>
      <w:rFonts w:ascii="Arial" w:cs="Arial" w:eastAsia="Arial" w:hAnsi="Arial"/>
      <w:b/>
      <w:bCs/>
      <w:color w:val="00000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2026-09-26T00:33:40.130Z</dcterms:created>
  <dcterms:modified xsi:type="dcterms:W3CDTF">2026-09-26T00:33:40.130Z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